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w:rPr>
          <w:b w:val="1"/>
          <w:bCs w:val="1"/>
          <w:i w:val="1"/>
          <w:iCs w:val="1"/>
        </w:rPr>
      </w:pPr>
      <w:r>
        <w:rPr>
          <w:b w:val="1"/>
          <w:bCs w:val="1"/>
          <w:i w:val="1"/>
          <w:iCs w:val="1"/>
          <w:rtl w:val="0"/>
          <w:lang w:val="en-US"/>
        </w:rPr>
        <w:t>Retention Schedule</w:t>
      </w:r>
    </w:p>
    <w:p>
      <w:pPr>
        <w:pStyle w:val="Header &amp; Footer"/>
        <w:rPr>
          <w:i w:val="1"/>
          <w:iCs w:val="1"/>
        </w:rPr>
      </w:pPr>
      <w:r>
        <w:rPr>
          <w:i w:val="1"/>
          <w:iCs w:val="1"/>
          <w:rtl w:val="0"/>
          <w:lang w:val="en-US"/>
        </w:rPr>
        <w:t>Adopted                  May 2024</w:t>
      </w:r>
    </w:p>
    <w:p>
      <w:pPr>
        <w:pStyle w:val="Header &amp; Footer"/>
        <w:rPr>
          <w:i w:val="1"/>
          <w:iCs w:val="1"/>
        </w:rPr>
      </w:pPr>
      <w:r>
        <w:rPr>
          <w:i w:val="1"/>
          <w:iCs w:val="1"/>
          <w:rtl w:val="0"/>
          <w:lang w:val="en-US"/>
        </w:rPr>
        <w:t>Review date            May 2025</w:t>
      </w:r>
    </w:p>
    <w:p>
      <w:pPr>
        <w:pStyle w:val="Header &amp; Footer"/>
        <w:rPr>
          <w:i w:val="1"/>
          <w:iCs w:val="1"/>
        </w:rPr>
      </w:pPr>
    </w:p>
    <w:p>
      <w:pPr>
        <w:pStyle w:val="Body A"/>
        <w:jc w:val="center"/>
        <w:rPr>
          <w:b w:val="1"/>
          <w:bCs w:val="1"/>
          <w:sz w:val="28"/>
          <w:szCs w:val="28"/>
          <w:u w:val="single"/>
        </w:rPr>
      </w:pPr>
      <w:r>
        <w:rPr>
          <w:b w:val="1"/>
          <w:bCs w:val="1"/>
          <w:sz w:val="28"/>
          <w:szCs w:val="28"/>
          <w:u w:val="single"/>
          <w:rtl w:val="0"/>
          <w:lang w:val="en-US"/>
        </w:rPr>
        <w:t>Kelbrook and Sough Parish Council</w:t>
      </w:r>
    </w:p>
    <w:p>
      <w:pPr>
        <w:pStyle w:val="Body A"/>
        <w:jc w:val="center"/>
        <w:rPr>
          <w:b w:val="1"/>
          <w:bCs w:val="1"/>
          <w:sz w:val="28"/>
          <w:szCs w:val="28"/>
          <w:u w:val="single"/>
        </w:rPr>
      </w:pPr>
    </w:p>
    <w:p>
      <w:pPr>
        <w:pStyle w:val="Body A"/>
        <w:jc w:val="center"/>
        <w:rPr>
          <w:b w:val="1"/>
          <w:bCs w:val="1"/>
          <w:sz w:val="28"/>
          <w:szCs w:val="28"/>
          <w:u w:val="single"/>
        </w:rPr>
      </w:pPr>
      <w:r>
        <w:rPr>
          <w:b w:val="1"/>
          <w:bCs w:val="1"/>
          <w:sz w:val="28"/>
          <w:szCs w:val="28"/>
          <w:u w:val="single"/>
          <w:rtl w:val="0"/>
          <w:lang w:val="en-US"/>
        </w:rPr>
        <w:t>Retention Schedule</w:t>
      </w:r>
    </w:p>
    <w:p>
      <w:pPr>
        <w:pStyle w:val="Body A"/>
        <w:rPr>
          <w:sz w:val="24"/>
          <w:szCs w:val="24"/>
        </w:rPr>
      </w:pPr>
    </w:p>
    <w:p>
      <w:pPr>
        <w:pStyle w:val="Body A"/>
        <w:rPr>
          <w:sz w:val="24"/>
          <w:szCs w:val="24"/>
        </w:rPr>
      </w:pPr>
      <w:r>
        <w:rPr>
          <w:sz w:val="24"/>
          <w:szCs w:val="24"/>
          <w:rtl w:val="0"/>
          <w:lang w:val="en-US"/>
        </w:rPr>
        <w:t>A Retention Schedule is a list of records that need to be kept by Kelbook and Sough  Parish Council for a specific length of time.</w:t>
      </w:r>
    </w:p>
    <w:p>
      <w:pPr>
        <w:pStyle w:val="Body A"/>
        <w:rPr>
          <w:sz w:val="24"/>
          <w:szCs w:val="24"/>
        </w:rPr>
      </w:pPr>
    </w:p>
    <w:p>
      <w:pPr>
        <w:pStyle w:val="Body A"/>
        <w:rPr>
          <w:sz w:val="24"/>
          <w:szCs w:val="24"/>
        </w:rPr>
      </w:pPr>
      <w:r>
        <w:rPr>
          <w:sz w:val="24"/>
          <w:szCs w:val="24"/>
          <w:rtl w:val="0"/>
          <w:lang w:val="en-US"/>
        </w:rPr>
        <w:t>This schedule contains recommended retention periods for records created and maintained by the Parish Council and refers to all information regardless of the media in which it is stored.</w:t>
      </w:r>
    </w:p>
    <w:p>
      <w:pPr>
        <w:pStyle w:val="Body A"/>
        <w:rPr>
          <w:sz w:val="24"/>
          <w:szCs w:val="24"/>
        </w:rPr>
      </w:pPr>
    </w:p>
    <w:p>
      <w:pPr>
        <w:pStyle w:val="Body A"/>
        <w:rPr>
          <w:sz w:val="24"/>
          <w:szCs w:val="24"/>
        </w:rPr>
      </w:pPr>
      <w:r>
        <w:rPr>
          <w:sz w:val="24"/>
          <w:szCs w:val="24"/>
          <w:rtl w:val="0"/>
          <w:lang w:val="en-US"/>
        </w:rPr>
        <w:t>The aim of the Retention Schedule is to provide a consistent approach to the way the</w:t>
      </w:r>
    </w:p>
    <w:p>
      <w:pPr>
        <w:pStyle w:val="Body A"/>
        <w:rPr>
          <w:sz w:val="24"/>
          <w:szCs w:val="24"/>
        </w:rPr>
      </w:pPr>
      <w:r>
        <w:rPr>
          <w:sz w:val="24"/>
          <w:szCs w:val="24"/>
          <w:rtl w:val="0"/>
          <w:lang w:val="en-US"/>
        </w:rPr>
        <w:t>Council handles its records and provide a clear set of guidelines.</w:t>
      </w:r>
    </w:p>
    <w:p>
      <w:pPr>
        <w:pStyle w:val="Body A"/>
        <w:rPr>
          <w:sz w:val="24"/>
          <w:szCs w:val="24"/>
        </w:rPr>
      </w:pPr>
    </w:p>
    <w:p>
      <w:pPr>
        <w:pStyle w:val="Body A"/>
        <w:rPr>
          <w:sz w:val="24"/>
          <w:szCs w:val="24"/>
        </w:rPr>
      </w:pPr>
      <w:r>
        <w:rPr>
          <w:sz w:val="24"/>
          <w:szCs w:val="24"/>
          <w:rtl w:val="0"/>
          <w:lang w:val="en-US"/>
        </w:rPr>
        <w:t>A Retention Schedule serves the purpose of identifying records that may be worth</w:t>
      </w:r>
    </w:p>
    <w:p>
      <w:pPr>
        <w:pStyle w:val="Body A"/>
        <w:rPr>
          <w:sz w:val="24"/>
          <w:szCs w:val="24"/>
        </w:rPr>
      </w:pPr>
      <w:r>
        <w:rPr>
          <w:sz w:val="24"/>
          <w:szCs w:val="24"/>
          <w:rtl w:val="0"/>
          <w:lang w:val="en-US"/>
        </w:rPr>
        <w:t>preserving permanently as a part of a local authority archive as well as preventing the</w:t>
      </w:r>
    </w:p>
    <w:p>
      <w:pPr>
        <w:pStyle w:val="Body A"/>
        <w:rPr>
          <w:sz w:val="24"/>
          <w:szCs w:val="24"/>
        </w:rPr>
      </w:pPr>
      <w:r>
        <w:rPr>
          <w:sz w:val="24"/>
          <w:szCs w:val="24"/>
          <w:rtl w:val="0"/>
          <w:lang w:val="en-US"/>
        </w:rPr>
        <w:t>premature destruction of records that need to be retained for a specific legal, financial or</w:t>
      </w:r>
    </w:p>
    <w:p>
      <w:pPr>
        <w:pStyle w:val="Body A"/>
        <w:rPr>
          <w:sz w:val="24"/>
          <w:szCs w:val="24"/>
        </w:rPr>
      </w:pPr>
      <w:r>
        <w:rPr>
          <w:sz w:val="24"/>
          <w:szCs w:val="24"/>
          <w:rtl w:val="0"/>
          <w:lang w:val="en-US"/>
        </w:rPr>
        <w:t>statutory period.</w:t>
      </w:r>
    </w:p>
    <w:p>
      <w:pPr>
        <w:pStyle w:val="Body A"/>
        <w:rPr>
          <w:sz w:val="24"/>
          <w:szCs w:val="24"/>
        </w:rPr>
      </w:pPr>
    </w:p>
    <w:p>
      <w:pPr>
        <w:pStyle w:val="Body A"/>
        <w:rPr>
          <w:sz w:val="24"/>
          <w:szCs w:val="24"/>
        </w:rPr>
      </w:pPr>
      <w:r>
        <w:rPr>
          <w:sz w:val="24"/>
          <w:szCs w:val="24"/>
          <w:rtl w:val="0"/>
          <w:lang w:val="en-US"/>
        </w:rPr>
        <w:t>This Retention Schedule details the function of each record, the type of records that may fall within this function and the length of time the Council should hold the record before taking disposal or archive action.</w:t>
      </w:r>
    </w:p>
    <w:p>
      <w:pPr>
        <w:pStyle w:val="Body A"/>
        <w:rPr>
          <w:sz w:val="24"/>
          <w:szCs w:val="24"/>
        </w:rPr>
      </w:pPr>
    </w:p>
    <w:p>
      <w:pPr>
        <w:pStyle w:val="Body A"/>
        <w:rPr>
          <w:sz w:val="24"/>
          <w:szCs w:val="24"/>
        </w:rPr>
      </w:pPr>
      <w:r>
        <w:rPr>
          <w:sz w:val="24"/>
          <w:szCs w:val="24"/>
          <w:rtl w:val="0"/>
          <w:lang w:val="en-US"/>
        </w:rPr>
        <w:t>Many retention periods are determined by statute.</w:t>
      </w:r>
    </w:p>
    <w:p>
      <w:pPr>
        <w:pStyle w:val="Body A"/>
        <w:rPr>
          <w:sz w:val="24"/>
          <w:szCs w:val="24"/>
        </w:rPr>
      </w:pPr>
    </w:p>
    <w:p>
      <w:pPr>
        <w:pStyle w:val="Body A"/>
        <w:rPr>
          <w:sz w:val="24"/>
          <w:szCs w:val="24"/>
        </w:rPr>
      </w:pPr>
      <w:r>
        <w:rPr>
          <w:sz w:val="24"/>
          <w:szCs w:val="24"/>
          <w:rtl w:val="0"/>
          <w:lang w:val="en-US"/>
        </w:rPr>
        <w:t>All data and records (active and archive) will be stored in accordance with appropriate</w:t>
      </w:r>
    </w:p>
    <w:p>
      <w:pPr>
        <w:pStyle w:val="Body A"/>
        <w:rPr>
          <w:sz w:val="24"/>
          <w:szCs w:val="24"/>
        </w:rPr>
      </w:pPr>
      <w:r>
        <w:rPr>
          <w:sz w:val="24"/>
          <w:szCs w:val="24"/>
          <w:rtl w:val="0"/>
          <w:lang w:val="en-US"/>
        </w:rPr>
        <w:t>security requirements and in the most convenient and appropriate location. The degree of</w:t>
      </w:r>
    </w:p>
    <w:p>
      <w:pPr>
        <w:pStyle w:val="Body A"/>
        <w:rPr>
          <w:sz w:val="24"/>
          <w:szCs w:val="24"/>
        </w:rPr>
      </w:pPr>
      <w:r>
        <w:rPr>
          <w:sz w:val="24"/>
          <w:szCs w:val="24"/>
          <w:rtl w:val="0"/>
          <w:lang w:val="en-US"/>
        </w:rPr>
        <w:t>security required for file storage will reflect the sensitivity and confidential nature of the</w:t>
      </w:r>
    </w:p>
    <w:p>
      <w:pPr>
        <w:pStyle w:val="Body A"/>
        <w:rPr>
          <w:sz w:val="24"/>
          <w:szCs w:val="24"/>
        </w:rPr>
      </w:pPr>
      <w:r>
        <w:rPr>
          <w:sz w:val="24"/>
          <w:szCs w:val="24"/>
          <w:rtl w:val="0"/>
          <w:lang w:val="en-US"/>
        </w:rPr>
        <w:t>recorded material.</w:t>
      </w:r>
    </w:p>
    <w:p>
      <w:pPr>
        <w:pStyle w:val="Body A"/>
        <w:rPr>
          <w:sz w:val="24"/>
          <w:szCs w:val="24"/>
        </w:rPr>
      </w:pPr>
    </w:p>
    <w:p>
      <w:pPr>
        <w:pStyle w:val="Body A"/>
        <w:rPr>
          <w:sz w:val="24"/>
          <w:szCs w:val="24"/>
        </w:rPr>
      </w:pPr>
      <w:r>
        <w:rPr>
          <w:sz w:val="24"/>
          <w:szCs w:val="24"/>
          <w:rtl w:val="0"/>
          <w:lang w:val="en-US"/>
        </w:rPr>
        <w:t>To summarise; the Council needs to keep accurate and timely records for the appropriate</w:t>
      </w:r>
    </w:p>
    <w:p>
      <w:pPr>
        <w:pStyle w:val="Body A"/>
        <w:rPr>
          <w:sz w:val="24"/>
          <w:szCs w:val="24"/>
        </w:rPr>
      </w:pPr>
      <w:r>
        <w:rPr>
          <w:sz w:val="24"/>
          <w:szCs w:val="24"/>
          <w:rtl w:val="0"/>
          <w:lang w:val="en-US"/>
        </w:rPr>
        <w:t>period of time, making sure that obsolete records are securely disposed of in an appropriate manner.</w:t>
      </w:r>
    </w:p>
    <w:p>
      <w:pPr>
        <w:pStyle w:val="Body A"/>
        <w:rPr>
          <w:sz w:val="24"/>
          <w:szCs w:val="24"/>
        </w:rPr>
      </w:pPr>
    </w:p>
    <w:p>
      <w:pPr>
        <w:pStyle w:val="Body A"/>
        <w:rPr>
          <w:sz w:val="24"/>
          <w:szCs w:val="24"/>
        </w:rPr>
      </w:pPr>
      <w:r>
        <w:rPr>
          <w:sz w:val="24"/>
          <w:szCs w:val="24"/>
          <w:rtl w:val="0"/>
          <w:lang w:val="en-US"/>
        </w:rPr>
        <w:t>Kelbrook and Sough Parish Council recognises that the efficient management of its records is necessary to comply with its legal and regulatory obligations and to contribute to the effective overall management of the Parish Council. This document provides the policy ramework through which this effective management can be achieved and audited.</w:t>
      </w:r>
    </w:p>
    <w:p>
      <w:pPr>
        <w:pStyle w:val="Body A"/>
        <w:rPr>
          <w:sz w:val="24"/>
          <w:szCs w:val="24"/>
        </w:rPr>
      </w:pPr>
    </w:p>
    <w:p>
      <w:pPr>
        <w:pStyle w:val="Body A"/>
        <w:rPr>
          <w:b w:val="1"/>
          <w:bCs w:val="1"/>
          <w:sz w:val="24"/>
          <w:szCs w:val="24"/>
          <w:u w:val="single"/>
        </w:rPr>
      </w:pPr>
      <w:r>
        <w:rPr>
          <w:b w:val="1"/>
          <w:bCs w:val="1"/>
          <w:sz w:val="24"/>
          <w:szCs w:val="24"/>
          <w:u w:val="single"/>
          <w:rtl w:val="0"/>
          <w:lang w:val="en-US"/>
        </w:rPr>
        <w:t>Scope of the policy</w:t>
      </w:r>
    </w:p>
    <w:p>
      <w:pPr>
        <w:pStyle w:val="Body A"/>
        <w:rPr>
          <w:sz w:val="24"/>
          <w:szCs w:val="24"/>
        </w:rPr>
      </w:pPr>
    </w:p>
    <w:p>
      <w:pPr>
        <w:pStyle w:val="Body A"/>
        <w:rPr>
          <w:sz w:val="24"/>
          <w:szCs w:val="24"/>
        </w:rPr>
      </w:pPr>
      <w:r>
        <w:rPr>
          <w:sz w:val="24"/>
          <w:szCs w:val="24"/>
          <w:rtl w:val="0"/>
          <w:lang w:val="en-US"/>
        </w:rPr>
        <w:t>This policy applies to all records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and/or electronically.</w:t>
      </w:r>
    </w:p>
    <w:p>
      <w:pPr>
        <w:pStyle w:val="Body A"/>
        <w:rPr>
          <w:sz w:val="24"/>
          <w:szCs w:val="24"/>
        </w:rPr>
      </w:pPr>
    </w:p>
    <w:p>
      <w:pPr>
        <w:pStyle w:val="Body A"/>
        <w:rPr>
          <w:b w:val="1"/>
          <w:bCs w:val="1"/>
          <w:sz w:val="24"/>
          <w:szCs w:val="24"/>
          <w:u w:val="single"/>
        </w:rPr>
      </w:pPr>
      <w:r>
        <w:rPr>
          <w:b w:val="1"/>
          <w:bCs w:val="1"/>
          <w:sz w:val="24"/>
          <w:szCs w:val="24"/>
          <w:u w:val="single"/>
          <w:rtl w:val="0"/>
          <w:lang w:val="en-US"/>
        </w:rPr>
        <w:t>Responsibilities</w:t>
      </w:r>
    </w:p>
    <w:p>
      <w:pPr>
        <w:pStyle w:val="Body A"/>
        <w:rPr>
          <w:b w:val="1"/>
          <w:bCs w:val="1"/>
          <w:sz w:val="24"/>
          <w:szCs w:val="24"/>
          <w:u w:val="single"/>
        </w:rPr>
      </w:pPr>
    </w:p>
    <w:p>
      <w:pPr>
        <w:pStyle w:val="Body A"/>
        <w:rPr>
          <w:sz w:val="24"/>
          <w:szCs w:val="24"/>
        </w:rPr>
      </w:pPr>
      <w:r>
        <w:rPr>
          <w:sz w:val="24"/>
          <w:szCs w:val="24"/>
          <w:rtl w:val="0"/>
          <w:lang w:val="en-US"/>
        </w:rPr>
        <w:t>The Parish Council has a corporate responsibility to maintain its records and record</w:t>
      </w:r>
    </w:p>
    <w:p>
      <w:pPr>
        <w:pStyle w:val="Body A"/>
        <w:rPr>
          <w:sz w:val="24"/>
          <w:szCs w:val="24"/>
        </w:rPr>
      </w:pPr>
      <w:r>
        <w:rPr>
          <w:sz w:val="24"/>
          <w:szCs w:val="24"/>
          <w:rtl w:val="0"/>
          <w:lang w:val="en-US"/>
        </w:rPr>
        <w:t>management systems in accordance with the regulatory environment.</w:t>
      </w:r>
    </w:p>
    <w:p>
      <w:pPr>
        <w:pStyle w:val="Body A"/>
        <w:rPr>
          <w:sz w:val="24"/>
          <w:szCs w:val="24"/>
        </w:rPr>
      </w:pPr>
    </w:p>
    <w:p>
      <w:pPr>
        <w:pStyle w:val="Body A"/>
        <w:rPr>
          <w:sz w:val="24"/>
          <w:szCs w:val="24"/>
        </w:rPr>
      </w:pPr>
      <w:r>
        <w:rPr>
          <w:sz w:val="24"/>
          <w:szCs w:val="24"/>
          <w:rtl w:val="0"/>
          <w:lang w:val="en-US"/>
        </w:rPr>
        <w:t>The Clerk and Councillors must ensure that records for which they are responsible are accurate, and are maintained and disposed of in accordance with the Parish Council</w:t>
      </w:r>
      <w:r>
        <w:rPr>
          <w:rFonts w:ascii="Arial Unicode MS" w:hAnsi="Arial Unicode MS" w:hint="default"/>
          <w:sz w:val="24"/>
          <w:szCs w:val="24"/>
          <w:rtl w:val="0"/>
          <w:lang w:val="en-US"/>
        </w:rPr>
        <w:t>’</w:t>
      </w:r>
      <w:r>
        <w:rPr>
          <w:sz w:val="24"/>
          <w:szCs w:val="24"/>
          <w:rtl w:val="0"/>
          <w:lang w:val="en-US"/>
        </w:rPr>
        <w:t>s</w:t>
      </w:r>
    </w:p>
    <w:p>
      <w:pPr>
        <w:pStyle w:val="Body A"/>
        <w:rPr>
          <w:sz w:val="24"/>
          <w:szCs w:val="24"/>
        </w:rPr>
      </w:pPr>
      <w:r>
        <w:rPr>
          <w:sz w:val="24"/>
          <w:szCs w:val="24"/>
          <w:rtl w:val="0"/>
          <w:lang w:val="en-US"/>
        </w:rPr>
        <w:t>records management guidelines. Individual Councillors may hold records securely in hard</w:t>
      </w:r>
    </w:p>
    <w:p>
      <w:pPr>
        <w:pStyle w:val="Body A"/>
        <w:rPr>
          <w:sz w:val="24"/>
          <w:szCs w:val="24"/>
          <w:lang w:val="en-US"/>
        </w:rPr>
      </w:pPr>
      <w:r>
        <w:rPr>
          <w:sz w:val="24"/>
          <w:szCs w:val="24"/>
          <w:rtl w:val="0"/>
          <w:lang w:val="en-US"/>
        </w:rPr>
        <w:t>copy format or electronically at home or on their home computers. If a Councillor considers that some of these documents are important in the context of the Parish Council</w:t>
      </w:r>
      <w:r>
        <w:rPr>
          <w:rFonts w:ascii="Arial Unicode MS" w:hAnsi="Arial Unicode MS" w:hint="default"/>
          <w:sz w:val="24"/>
          <w:szCs w:val="24"/>
          <w:rtl w:val="0"/>
          <w:lang w:val="en-US"/>
        </w:rPr>
        <w:t>’</w:t>
      </w:r>
      <w:r>
        <w:rPr>
          <w:sz w:val="24"/>
          <w:szCs w:val="24"/>
          <w:rtl w:val="0"/>
          <w:lang w:val="en-US"/>
        </w:rPr>
        <w:t xml:space="preserve">s records, they should ensure that the Parish clerk retain a copy for the official record. Individual Councillors are strongly advised to undertake </w:t>
      </w:r>
      <w:r>
        <w:rPr>
          <w:rFonts w:ascii="Arial Unicode MS" w:hAnsi="Arial Unicode MS" w:hint="default"/>
          <w:sz w:val="24"/>
          <w:szCs w:val="24"/>
          <w:rtl w:val="1"/>
          <w:lang w:val="ar-SA" w:bidi="ar-SA"/>
        </w:rPr>
        <w:t>“</w:t>
      </w:r>
      <w:r>
        <w:rPr>
          <w:sz w:val="24"/>
          <w:szCs w:val="24"/>
          <w:rtl w:val="0"/>
          <w:lang w:val="en-US"/>
        </w:rPr>
        <w:t>weeding</w:t>
      </w:r>
      <w:r>
        <w:rPr>
          <w:sz w:val="24"/>
          <w:szCs w:val="24"/>
          <w:rtl w:val="0"/>
          <w:lang w:val="en-US"/>
        </w:rPr>
        <w:t xml:space="preserve">” </w:t>
      </w:r>
      <w:r>
        <w:rPr>
          <w:sz w:val="24"/>
          <w:szCs w:val="24"/>
          <w:rtl w:val="0"/>
          <w:lang w:val="en-US"/>
        </w:rPr>
        <w:t xml:space="preserve">and </w:t>
      </w:r>
      <w:r>
        <w:rPr>
          <w:rFonts w:ascii="Arial Unicode MS" w:hAnsi="Arial Unicode MS" w:hint="default"/>
          <w:sz w:val="24"/>
          <w:szCs w:val="24"/>
          <w:rtl w:val="1"/>
          <w:lang w:val="ar-SA" w:bidi="ar-SA"/>
        </w:rPr>
        <w:t>“</w:t>
      </w:r>
      <w:r>
        <w:rPr>
          <w:sz w:val="24"/>
          <w:szCs w:val="24"/>
          <w:rtl w:val="0"/>
          <w:lang w:val="en-US"/>
        </w:rPr>
        <w:t>housekeeping</w:t>
      </w:r>
      <w:r>
        <w:rPr>
          <w:sz w:val="24"/>
          <w:szCs w:val="24"/>
          <w:rtl w:val="0"/>
          <w:lang w:val="en-US"/>
        </w:rPr>
        <w:t xml:space="preserve">” </w:t>
      </w:r>
      <w:r>
        <w:rPr>
          <w:sz w:val="24"/>
          <w:szCs w:val="24"/>
          <w:rtl w:val="0"/>
          <w:lang w:val="en-US"/>
        </w:rPr>
        <w:t>on a regular basis.</w:t>
      </w:r>
      <w:r>
        <w:rPr>
          <w:sz w:val="24"/>
          <w:szCs w:val="24"/>
          <w:rtl w:val="0"/>
          <w:lang w:val="en-US"/>
        </w:rPr>
        <w:t xml:space="preserve">  </w:t>
      </w:r>
    </w:p>
    <w:p>
      <w:pPr>
        <w:pStyle w:val="Body A"/>
        <w:rPr>
          <w:sz w:val="24"/>
          <w:szCs w:val="24"/>
          <w:lang w:val="en-US"/>
        </w:rPr>
      </w:pPr>
    </w:p>
    <w:p>
      <w:pPr>
        <w:pStyle w:val="Body A"/>
        <w:rPr>
          <w:sz w:val="24"/>
          <w:szCs w:val="24"/>
        </w:rPr>
      </w:pPr>
      <w:r>
        <w:rPr>
          <w:sz w:val="24"/>
          <w:szCs w:val="24"/>
          <w:rtl w:val="0"/>
          <w:lang w:val="en-US"/>
        </w:rPr>
        <w:t>All on-line records and parish council communication must be deleted on ceasing to be a councillor</w:t>
      </w:r>
    </w:p>
    <w:p>
      <w:pPr>
        <w:pStyle w:val="Body A"/>
        <w:rPr>
          <w:sz w:val="24"/>
          <w:szCs w:val="24"/>
        </w:rPr>
      </w:pPr>
    </w:p>
    <w:p>
      <w:pPr>
        <w:pStyle w:val="Body A"/>
        <w:rPr>
          <w:b w:val="1"/>
          <w:bCs w:val="1"/>
          <w:sz w:val="24"/>
          <w:szCs w:val="24"/>
          <w:u w:val="single"/>
        </w:rPr>
      </w:pPr>
      <w:r>
        <w:rPr>
          <w:b w:val="1"/>
          <w:bCs w:val="1"/>
          <w:sz w:val="24"/>
          <w:szCs w:val="24"/>
          <w:u w:val="single"/>
          <w:rtl w:val="0"/>
          <w:lang w:val="en-US"/>
        </w:rPr>
        <w:t>Relationship with existing policies</w:t>
      </w:r>
    </w:p>
    <w:p>
      <w:pPr>
        <w:pStyle w:val="Body A"/>
        <w:rPr>
          <w:sz w:val="24"/>
          <w:szCs w:val="24"/>
        </w:rPr>
      </w:pPr>
    </w:p>
    <w:p>
      <w:pPr>
        <w:pStyle w:val="Body A"/>
        <w:rPr>
          <w:sz w:val="24"/>
          <w:szCs w:val="24"/>
        </w:rPr>
      </w:pPr>
      <w:r>
        <w:rPr>
          <w:sz w:val="24"/>
          <w:szCs w:val="24"/>
          <w:rtl w:val="0"/>
          <w:lang w:val="en-US"/>
        </w:rPr>
        <w:t>This policy has been drawn up within the context of:</w:t>
      </w:r>
    </w:p>
    <w:p>
      <w:pPr>
        <w:pStyle w:val="Body A"/>
        <w:rPr>
          <w:sz w:val="24"/>
          <w:szCs w:val="24"/>
        </w:rPr>
      </w:pPr>
    </w:p>
    <w:p>
      <w:pPr>
        <w:pStyle w:val="Body A"/>
        <w:numPr>
          <w:ilvl w:val="0"/>
          <w:numId w:val="2"/>
        </w:numPr>
        <w:bidi w:val="0"/>
        <w:ind w:right="0"/>
        <w:jc w:val="left"/>
        <w:rPr>
          <w:sz w:val="24"/>
          <w:szCs w:val="24"/>
          <w:rtl w:val="0"/>
          <w:lang w:val="en-US"/>
        </w:rPr>
      </w:pPr>
      <w:r>
        <w:rPr>
          <w:sz w:val="24"/>
          <w:szCs w:val="24"/>
          <w:rtl w:val="0"/>
          <w:lang w:val="en-US"/>
        </w:rPr>
        <w:t>Freedom of Information policy</w:t>
      </w:r>
    </w:p>
    <w:p>
      <w:pPr>
        <w:pStyle w:val="Body A"/>
        <w:numPr>
          <w:ilvl w:val="0"/>
          <w:numId w:val="2"/>
        </w:numPr>
        <w:bidi w:val="0"/>
        <w:ind w:right="0"/>
        <w:jc w:val="left"/>
        <w:rPr>
          <w:sz w:val="24"/>
          <w:szCs w:val="24"/>
          <w:rtl w:val="0"/>
          <w:lang w:val="en-US"/>
        </w:rPr>
      </w:pPr>
      <w:r>
        <w:rPr>
          <w:sz w:val="24"/>
          <w:szCs w:val="24"/>
          <w:rtl w:val="0"/>
          <w:lang w:val="en-US"/>
        </w:rPr>
        <w:t>Data Protection policy/Publication Scheme</w:t>
      </w:r>
    </w:p>
    <w:p>
      <w:pPr>
        <w:pStyle w:val="Body A"/>
        <w:rPr>
          <w:sz w:val="24"/>
          <w:szCs w:val="24"/>
        </w:rPr>
      </w:pPr>
    </w:p>
    <w:p>
      <w:pPr>
        <w:pStyle w:val="Body A"/>
        <w:rPr>
          <w:sz w:val="24"/>
          <w:szCs w:val="24"/>
        </w:rPr>
      </w:pPr>
      <w:r>
        <w:rPr>
          <w:sz w:val="24"/>
          <w:szCs w:val="24"/>
          <w:rtl w:val="0"/>
          <w:lang w:val="en-US"/>
        </w:rPr>
        <w:t>And with other legislation or regulations (including audit and Statute of Limitations) affecting the Parish Council.</w:t>
      </w:r>
    </w:p>
    <w:p>
      <w:pPr>
        <w:pStyle w:val="Body A"/>
        <w:rPr>
          <w:b w:val="1"/>
          <w:bCs w:val="1"/>
          <w:sz w:val="24"/>
          <w:szCs w:val="24"/>
          <w:u w:val="single"/>
        </w:rPr>
      </w:pPr>
    </w:p>
    <w:p>
      <w:pPr>
        <w:pStyle w:val="Body A"/>
        <w:rPr>
          <w:b w:val="1"/>
          <w:bCs w:val="1"/>
          <w:sz w:val="24"/>
          <w:szCs w:val="24"/>
          <w:u w:val="single"/>
        </w:rPr>
      </w:pPr>
      <w:r>
        <w:rPr>
          <w:b w:val="1"/>
          <w:bCs w:val="1"/>
          <w:sz w:val="24"/>
          <w:szCs w:val="24"/>
          <w:u w:val="single"/>
          <w:rtl w:val="0"/>
          <w:lang w:val="en-US"/>
        </w:rPr>
        <w:t>Retention Schedule</w:t>
      </w:r>
    </w:p>
    <w:p>
      <w:pPr>
        <w:pStyle w:val="Body A"/>
        <w:rPr>
          <w:sz w:val="24"/>
          <w:szCs w:val="24"/>
        </w:rPr>
      </w:pPr>
    </w:p>
    <w:p>
      <w:pPr>
        <w:pStyle w:val="Body A"/>
        <w:rPr>
          <w:sz w:val="24"/>
          <w:szCs w:val="24"/>
        </w:rPr>
      </w:pPr>
      <w:r>
        <w:rPr>
          <w:sz w:val="24"/>
          <w:szCs w:val="24"/>
          <w:rtl w:val="0"/>
          <w:lang w:val="en-US"/>
        </w:rPr>
        <w:t>The Parish Council is required to maintain a retention schedule listing the record series</w:t>
      </w:r>
    </w:p>
    <w:p>
      <w:pPr>
        <w:pStyle w:val="Body A"/>
        <w:rPr>
          <w:sz w:val="24"/>
          <w:szCs w:val="24"/>
        </w:rPr>
      </w:pPr>
      <w:r>
        <w:rPr>
          <w:sz w:val="24"/>
          <w:szCs w:val="24"/>
          <w:rtl w:val="0"/>
          <w:lang w:val="en-US"/>
        </w:rPr>
        <w:t>which it creates in the course of its business. The retention schedule lays down the length of time which the record needs to be retained and the action which should be taken when it is of no further administrative use.</w:t>
      </w:r>
    </w:p>
    <w:p>
      <w:pPr>
        <w:pStyle w:val="Body A"/>
        <w:rPr>
          <w:sz w:val="24"/>
          <w:szCs w:val="24"/>
        </w:rPr>
      </w:pPr>
    </w:p>
    <w:p>
      <w:pPr>
        <w:pStyle w:val="Body A"/>
        <w:rPr>
          <w:sz w:val="24"/>
          <w:szCs w:val="24"/>
        </w:rPr>
      </w:pPr>
      <w:r>
        <w:rPr>
          <w:sz w:val="24"/>
          <w:szCs w:val="24"/>
          <w:rtl w:val="0"/>
          <w:lang w:val="en-US"/>
        </w:rPr>
        <w:t>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w:t>
      </w:r>
    </w:p>
    <w:p>
      <w:pPr>
        <w:pStyle w:val="Body A"/>
        <w:rPr>
          <w:sz w:val="24"/>
          <w:szCs w:val="24"/>
        </w:rPr>
      </w:pPr>
    </w:p>
    <w:p>
      <w:pPr>
        <w:pStyle w:val="Body A"/>
        <w:rPr>
          <w:sz w:val="24"/>
          <w:szCs w:val="24"/>
        </w:rPr>
      </w:pPr>
      <w:r>
        <w:rPr>
          <w:sz w:val="24"/>
          <w:szCs w:val="24"/>
          <w:rtl w:val="0"/>
          <w:lang w:val="en-US"/>
        </w:rPr>
        <w:t>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w:t>
      </w:r>
    </w:p>
    <w:p>
      <w:pPr>
        <w:pStyle w:val="Body A"/>
        <w:rPr>
          <w:sz w:val="24"/>
          <w:szCs w:val="24"/>
        </w:rPr>
      </w:pPr>
    </w:p>
    <w:p>
      <w:pPr>
        <w:pStyle w:val="Body A"/>
        <w:rPr>
          <w:sz w:val="24"/>
          <w:szCs w:val="24"/>
        </w:rPr>
      </w:pPr>
      <w:r>
        <w:rPr>
          <w:sz w:val="24"/>
          <w:szCs w:val="24"/>
          <w:rtl w:val="0"/>
          <w:lang w:val="en-US"/>
        </w:rPr>
        <w:t>The retention schedule refers to record series regardless of the media in which they are</w:t>
      </w:r>
    </w:p>
    <w:p>
      <w:pPr>
        <w:pStyle w:val="Body A"/>
        <w:rPr>
          <w:b w:val="1"/>
          <w:bCs w:val="1"/>
          <w:sz w:val="24"/>
          <w:szCs w:val="24"/>
        </w:rPr>
      </w:pPr>
      <w:r>
        <w:rPr>
          <w:sz w:val="24"/>
          <w:szCs w:val="24"/>
          <w:rtl w:val="0"/>
          <w:lang w:val="en-US"/>
        </w:rPr>
        <w:t xml:space="preserve">stored. </w:t>
      </w:r>
      <w:r>
        <w:rPr>
          <w:b w:val="1"/>
          <w:bCs w:val="1"/>
          <w:sz w:val="24"/>
          <w:szCs w:val="24"/>
          <w:rtl w:val="0"/>
          <w:lang w:val="en-US"/>
        </w:rPr>
        <w:t>Please see Appendix 1</w:t>
      </w:r>
    </w:p>
    <w:p>
      <w:pPr>
        <w:pStyle w:val="Body A"/>
        <w:rPr>
          <w:sz w:val="24"/>
          <w:szCs w:val="24"/>
        </w:rPr>
      </w:pPr>
    </w:p>
    <w:p>
      <w:pPr>
        <w:pStyle w:val="Body A"/>
        <w:rPr>
          <w:sz w:val="24"/>
          <w:szCs w:val="24"/>
        </w:rPr>
      </w:pPr>
      <w:r>
        <w:rPr>
          <w:sz w:val="24"/>
          <w:szCs w:val="24"/>
          <w:rtl w:val="0"/>
          <w:lang w:val="en-US"/>
        </w:rPr>
        <w:t>This policy will be reviewed annually to ensure that it is relevant to working practice.</w:t>
      </w:r>
    </w:p>
    <w:p>
      <w:pPr>
        <w:pStyle w:val="Body A"/>
        <w:rPr>
          <w:sz w:val="24"/>
          <w:szCs w:val="24"/>
        </w:rPr>
      </w:pPr>
    </w:p>
    <w:p>
      <w:pPr>
        <w:pStyle w:val="Body A"/>
        <w:rPr>
          <w:sz w:val="24"/>
          <w:szCs w:val="24"/>
        </w:rPr>
      </w:pPr>
      <w:r>
        <w:rPr>
          <w:sz w:val="24"/>
          <w:szCs w:val="24"/>
          <w:rtl w:val="0"/>
          <w:lang w:val="en-US"/>
        </w:rPr>
        <w:t>Adopted by Kelbrook and Sough  Parish Council:</w:t>
      </w:r>
    </w:p>
    <w:p>
      <w:pPr>
        <w:pStyle w:val="Body A"/>
        <w:rPr>
          <w:sz w:val="24"/>
          <w:szCs w:val="24"/>
        </w:rPr>
      </w:pPr>
    </w:p>
    <w:p>
      <w:pPr>
        <w:pStyle w:val="Body A"/>
        <w:rPr>
          <w:sz w:val="24"/>
          <w:szCs w:val="24"/>
        </w:rPr>
      </w:pPr>
      <w:r>
        <w:rPr>
          <w:sz w:val="24"/>
          <w:szCs w:val="24"/>
          <w:rtl w:val="0"/>
          <w:lang w:val="en-US"/>
        </w:rPr>
        <w:t>……………</w:t>
      </w:r>
      <w:r>
        <w:rPr>
          <w:sz w:val="24"/>
          <w:szCs w:val="24"/>
          <w:rtl w:val="0"/>
          <w:lang w:val="en-US"/>
        </w:rPr>
        <w:t>.</w:t>
      </w:r>
      <w:r>
        <w:rPr>
          <w:sz w:val="24"/>
          <w:szCs w:val="24"/>
          <w:rtl w:val="0"/>
          <w:lang w:val="en-US"/>
        </w:rPr>
        <w:t>……………………………</w:t>
      </w:r>
      <w:r>
        <w:rPr>
          <w:sz w:val="24"/>
          <w:szCs w:val="24"/>
          <w:rtl w:val="0"/>
          <w:lang w:val="de-DE"/>
        </w:rPr>
        <w:t>.. Chairman ................................ Date</w:t>
      </w:r>
    </w:p>
    <w:p>
      <w:pPr>
        <w:pStyle w:val="Body A"/>
        <w:rPr>
          <w:sz w:val="24"/>
          <w:szCs w:val="24"/>
        </w:rPr>
      </w:pPr>
    </w:p>
    <w:p>
      <w:pPr>
        <w:pStyle w:val="Body A"/>
        <w:rPr>
          <w:sz w:val="24"/>
          <w:szCs w:val="24"/>
        </w:rPr>
      </w:pPr>
      <w:r>
        <w:rPr>
          <w:sz w:val="24"/>
          <w:szCs w:val="24"/>
          <w:rtl w:val="0"/>
          <w:lang w:val="en-US"/>
        </w:rPr>
        <w:t>…………</w:t>
      </w:r>
      <w:r>
        <w:rPr>
          <w:sz w:val="24"/>
          <w:szCs w:val="24"/>
          <w:rtl w:val="0"/>
          <w:lang w:val="en-US"/>
        </w:rPr>
        <w:t>.</w:t>
      </w:r>
      <w:r>
        <w:rPr>
          <w:sz w:val="24"/>
          <w:szCs w:val="24"/>
          <w:rtl w:val="0"/>
          <w:lang w:val="en-US"/>
        </w:rPr>
        <w:t>………………………………</w:t>
      </w:r>
      <w:r>
        <w:rPr>
          <w:sz w:val="24"/>
          <w:szCs w:val="24"/>
          <w:rtl w:val="0"/>
          <w:lang w:val="en-US"/>
        </w:rPr>
        <w:t xml:space="preserve">.. Clerk        </w:t>
      </w:r>
      <w:r>
        <w:rPr>
          <w:sz w:val="24"/>
          <w:szCs w:val="24"/>
          <w:rtl w:val="0"/>
          <w:lang w:val="de-DE"/>
        </w:rPr>
        <w:t>................................ Date</w:t>
      </w:r>
    </w:p>
    <w:p>
      <w:pPr>
        <w:pStyle w:val="Body A"/>
        <w:rPr>
          <w:b w:val="1"/>
          <w:bCs w:val="1"/>
          <w:sz w:val="24"/>
          <w:szCs w:val="24"/>
        </w:rPr>
      </w:pPr>
      <w:r>
        <w:rPr>
          <w:b w:val="1"/>
          <w:bCs w:val="1"/>
          <w:sz w:val="24"/>
          <w:szCs w:val="24"/>
          <w:rtl w:val="0"/>
          <w:lang w:val="en-US"/>
        </w:rPr>
        <w:t xml:space="preserve">Appendix 1 </w:t>
      </w:r>
    </w:p>
    <w:p>
      <w:pPr>
        <w:pStyle w:val="Body A"/>
        <w:rPr>
          <w:b w:val="1"/>
          <w:bCs w:val="1"/>
          <w:sz w:val="24"/>
          <w:szCs w:val="24"/>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86"/>
        <w:gridCol w:w="3138"/>
        <w:gridCol w:w="1657"/>
        <w:gridCol w:w="1749"/>
      </w:tblGrid>
      <w:tr>
        <w:tblPrEx>
          <w:shd w:val="clear" w:color="auto" w:fill="cadfff"/>
        </w:tblPrEx>
        <w:trPr>
          <w:trHeight w:val="300" w:hRule="atLeast"/>
        </w:trPr>
        <w:tc>
          <w:tcPr>
            <w:tcW w:type="dxa" w:w="3086"/>
            <w:tcBorders>
              <w:top w:val="single" w:color="7f7f7f" w:sz="2" w:space="0" w:shadow="0" w:frame="0"/>
              <w:left w:val="single" w:color="7f7f7f" w:sz="2" w:space="0" w:shadow="0" w:frame="0"/>
              <w:bottom w:val="single" w:color="7f7f7f"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rPr>
              <w:t>Document</w:t>
            </w:r>
          </w:p>
        </w:tc>
        <w:tc>
          <w:tcPr>
            <w:tcW w:type="dxa" w:w="3138"/>
            <w:tcBorders>
              <w:top w:val="single" w:color="7f7f7f" w:sz="2" w:space="0" w:shadow="0" w:frame="0"/>
              <w:left w:val="single" w:color="000000" w:sz="2" w:space="0" w:shadow="0" w:frame="0"/>
              <w:bottom w:val="single" w:color="7f7f7f"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fr-FR"/>
              </w:rPr>
              <w:t>Minimum retention</w:t>
            </w:r>
          </w:p>
        </w:tc>
        <w:tc>
          <w:tcPr>
            <w:tcW w:type="dxa" w:w="1657"/>
            <w:tcBorders>
              <w:top w:val="single" w:color="7f7f7f" w:sz="2" w:space="0" w:shadow="0" w:frame="0"/>
              <w:left w:val="single" w:color="000000" w:sz="2" w:space="0" w:shadow="0" w:frame="0"/>
              <w:bottom w:val="single" w:color="7f7f7f" w:sz="2"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en-US"/>
              </w:rPr>
              <w:t>Reason</w:t>
            </w:r>
          </w:p>
        </w:tc>
        <w:tc>
          <w:tcPr>
            <w:tcW w:type="dxa" w:w="1748"/>
            <w:tcBorders>
              <w:top w:val="single" w:color="7f7f7f" w:sz="2" w:space="0" w:shadow="0" w:frame="0"/>
              <w:left w:val="single" w:color="000000" w:sz="2" w:space="0" w:shadow="0" w:frame="0"/>
              <w:bottom w:val="single" w:color="7f7f7f" w:sz="2" w:space="0" w:shadow="0" w:frame="0"/>
              <w:right w:val="single" w:color="7f7f7f"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fr-FR"/>
              </w:rPr>
              <w:t>Action</w:t>
            </w:r>
          </w:p>
        </w:tc>
      </w:tr>
      <w:tr>
        <w:tblPrEx>
          <w:shd w:val="clear" w:color="auto" w:fill="cadfff"/>
        </w:tblPrEx>
        <w:trPr>
          <w:trHeight w:val="300" w:hRule="atLeast"/>
        </w:trPr>
        <w:tc>
          <w:tcPr>
            <w:tcW w:type="dxa" w:w="3086"/>
            <w:tcBorders>
              <w:top w:val="single" w:color="7f7f7f" w:sz="2" w:space="0" w:shadow="0" w:frame="0"/>
              <w:left w:val="single" w:color="e6b5b5" w:sz="2" w:space="0" w:shadow="0" w:frame="0"/>
              <w:bottom w:val="single" w:color="e6b5b5" w:sz="6" w:space="0" w:shadow="0" w:frame="0"/>
              <w:right w:val="single" w:color="000000" w:sz="2"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lang w:val="en-US"/>
              </w:rPr>
              <w:t>Minutes and Correspondence</w:t>
            </w:r>
          </w:p>
        </w:tc>
        <w:tc>
          <w:tcPr>
            <w:tcW w:type="dxa" w:w="3138"/>
            <w:tcBorders>
              <w:top w:val="single" w:color="7f7f7f" w:sz="2" w:space="0" w:shadow="0" w:frame="0"/>
              <w:left w:val="single" w:color="000000" w:sz="2" w:space="0" w:shadow="0" w:frame="0"/>
              <w:bottom w:val="single" w:color="e6b5b5" w:sz="6"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657"/>
            <w:tcBorders>
              <w:top w:val="single" w:color="7f7f7f" w:sz="2" w:space="0" w:shadow="0" w:frame="0"/>
              <w:left w:val="single" w:color="000000" w:sz="2" w:space="0" w:shadow="0" w:frame="0"/>
              <w:bottom w:val="single" w:color="e6b5b5" w:sz="6"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748"/>
            <w:tcBorders>
              <w:top w:val="single" w:color="7f7f7f" w:sz="2" w:space="0" w:shadow="0" w:frame="0"/>
              <w:left w:val="single" w:color="000000" w:sz="2" w:space="0" w:shadow="0" w:frame="0"/>
              <w:bottom w:val="single" w:color="e6b5b5" w:sz="6" w:space="0" w:shadow="0" w:frame="0"/>
              <w:right w:val="single" w:color="e6b5b5" w:sz="2" w:space="0" w:shadow="0" w:frame="0"/>
            </w:tcBorders>
            <w:shd w:val="clear" w:color="auto" w:fill="919191"/>
            <w:tcMar>
              <w:top w:type="dxa" w:w="80"/>
              <w:left w:type="dxa" w:w="80"/>
              <w:bottom w:type="dxa" w:w="80"/>
              <w:right w:type="dxa" w:w="80"/>
            </w:tcMar>
            <w:vAlign w:val="top"/>
          </w:tcPr>
          <w:p/>
        </w:tc>
      </w:tr>
      <w:tr>
        <w:tblPrEx>
          <w:shd w:val="clear" w:color="auto" w:fill="cadfff"/>
        </w:tblPrEx>
        <w:trPr>
          <w:trHeight w:val="310" w:hRule="atLeast"/>
        </w:trPr>
        <w:tc>
          <w:tcPr>
            <w:tcW w:type="dxa" w:w="3086"/>
            <w:tcBorders>
              <w:top w:val="single" w:color="e6b5b5"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Minutes of council meetings</w:t>
            </w:r>
          </w:p>
        </w:tc>
        <w:tc>
          <w:tcPr>
            <w:tcW w:type="dxa" w:w="3138"/>
            <w:tcBorders>
              <w:top w:val="single" w:color="e6b5b5"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e6b5b5"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e6b5b5"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pt-PT"/>
              </w:rPr>
              <w:t>Agendas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5e5e5e"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Routine Correspondence</w:t>
            </w:r>
          </w:p>
        </w:tc>
        <w:tc>
          <w:tcPr>
            <w:tcW w:type="dxa" w:w="3138"/>
            <w:tcBorders>
              <w:top w:val="single" w:color="000000" w:sz="2" w:space="0" w:shadow="0" w:frame="0"/>
              <w:left w:val="single" w:color="000000" w:sz="6" w:space="0" w:shadow="0" w:frame="0"/>
              <w:bottom w:val="single" w:color="5e5e5e"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As long as useful</w:t>
            </w:r>
          </w:p>
        </w:tc>
        <w:tc>
          <w:tcPr>
            <w:tcW w:type="dxa" w:w="1657"/>
            <w:tcBorders>
              <w:top w:val="single" w:color="000000" w:sz="2" w:space="0" w:shadow="0" w:frame="0"/>
              <w:left w:val="single" w:color="000000" w:sz="2" w:space="0" w:shadow="0" w:frame="0"/>
              <w:bottom w:val="single" w:color="5e5e5e"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5e5e5e"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r>
      <w:tr>
        <w:tblPrEx>
          <w:shd w:val="clear" w:color="auto" w:fill="cadfff"/>
        </w:tblPrEx>
        <w:trPr>
          <w:trHeight w:val="300" w:hRule="atLeast"/>
        </w:trPr>
        <w:tc>
          <w:tcPr>
            <w:tcW w:type="dxa" w:w="3086"/>
            <w:tcBorders>
              <w:top w:val="single" w:color="5e5e5e" w:sz="2" w:space="0" w:shadow="0" w:frame="0"/>
              <w:left w:val="single" w:color="5e5e5e" w:sz="2" w:space="0" w:shadow="0" w:frame="0"/>
              <w:bottom w:val="single" w:color="5e5e5e" w:sz="2" w:space="0" w:shadow="0" w:frame="0"/>
              <w:right w:val="single" w:color="000000" w:sz="6"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lang w:val="pt-PT"/>
              </w:rPr>
              <w:t>Financial</w:t>
            </w:r>
          </w:p>
        </w:tc>
        <w:tc>
          <w:tcPr>
            <w:tcW w:type="dxa" w:w="3138"/>
            <w:tcBorders>
              <w:top w:val="single" w:color="5e5e5e" w:sz="2" w:space="0" w:shadow="0" w:frame="0"/>
              <w:left w:val="single" w:color="000000" w:sz="6" w:space="0" w:shadow="0" w:frame="0"/>
              <w:bottom w:val="single" w:color="5e5e5e"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657"/>
            <w:tcBorders>
              <w:top w:val="single" w:color="5e5e5e" w:sz="2" w:space="0" w:shadow="0" w:frame="0"/>
              <w:left w:val="single" w:color="000000" w:sz="2" w:space="0" w:shadow="0" w:frame="0"/>
              <w:bottom w:val="single" w:color="5e5e5e"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748"/>
            <w:tcBorders>
              <w:top w:val="single" w:color="5e5e5e" w:sz="2" w:space="0" w:shadow="0" w:frame="0"/>
              <w:left w:val="single" w:color="000000" w:sz="2" w:space="0" w:shadow="0" w:frame="0"/>
              <w:bottom w:val="single" w:color="5e5e5e" w:sz="2" w:space="0" w:shadow="0" w:frame="0"/>
              <w:right w:val="single" w:color="5e5e5e" w:sz="2" w:space="0" w:shadow="0" w:frame="0"/>
            </w:tcBorders>
            <w:shd w:val="clear" w:color="auto" w:fill="919191"/>
            <w:tcMar>
              <w:top w:type="dxa" w:w="80"/>
              <w:left w:type="dxa" w:w="80"/>
              <w:bottom w:type="dxa" w:w="80"/>
              <w:right w:type="dxa" w:w="80"/>
            </w:tcMar>
            <w:vAlign w:val="top"/>
          </w:tcPr>
          <w:p/>
        </w:tc>
      </w:tr>
      <w:tr>
        <w:tblPrEx>
          <w:shd w:val="clear" w:color="auto" w:fill="cadfff"/>
        </w:tblPrEx>
        <w:trPr>
          <w:trHeight w:val="300" w:hRule="atLeast"/>
        </w:trPr>
        <w:tc>
          <w:tcPr>
            <w:tcW w:type="dxa" w:w="3086"/>
            <w:tcBorders>
              <w:top w:val="single" w:color="5e5e5e"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Annual audited accounts</w:t>
            </w:r>
          </w:p>
        </w:tc>
        <w:tc>
          <w:tcPr>
            <w:tcW w:type="dxa" w:w="3138"/>
            <w:tcBorders>
              <w:top w:val="single" w:color="5e5e5e"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5e5e5e"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5e5e5e"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Annual return</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Bank statements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6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Cheque book stubs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Last completed audit year</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Paying in books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Last completed audit year</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 xml:space="preserve">Quotations and tenders </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12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VAT records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6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rPr>
              <w:t>VAT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Paid invoices/cheques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6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Audit/VAT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Payroll records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12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Tax and Ni records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12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Budget control papers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Current year plus 2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nl-NL"/>
              </w:rPr>
              <w:t>Timesheets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Last completed audit year</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lang w:val="en-US"/>
              </w:rPr>
              <w:t>Insurance</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Insurance policies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Whilst valid</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Insurance claim records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7 years after all obligations are concluded</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Certificate of employers liability</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50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Audit/legal</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Certificate of public liability</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21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Audit/legal</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Policy renewal records and correspondence</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Whilst valid</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rPr>
              <w:t>Asset registers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pt-PT"/>
              </w:rPr>
              <w:t>Preserve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lang w:val="en-US"/>
              </w:rPr>
              <w:t>Health and safety</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5d5d5"/>
            <w:tcMar>
              <w:top w:type="dxa" w:w="80"/>
              <w:left w:type="dxa" w:w="80"/>
              <w:bottom w:type="dxa" w:w="80"/>
              <w:right w:type="dxa" w:w="80"/>
            </w:tcMar>
            <w:vAlign w:val="top"/>
          </w:tcPr>
          <w:p>
            <w:pPr>
              <w:pStyle w:val="Table Style 1"/>
            </w:pPr>
            <w:r>
              <w:rPr>
                <w:shd w:val="nil" w:color="auto" w:fill="auto"/>
                <w:rtl w:val="0"/>
                <w:lang w:val="en-US"/>
              </w:rPr>
              <w:t>Accident books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en-US"/>
              </w:rPr>
              <w:t>25 years from closure</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5d5d5"/>
            <w:tcMar>
              <w:top w:type="dxa" w:w="80"/>
              <w:left w:type="dxa" w:w="80"/>
              <w:bottom w:type="dxa" w:w="80"/>
              <w:right w:type="dxa" w:w="80"/>
            </w:tcMar>
            <w:vAlign w:val="top"/>
          </w:tcPr>
          <w:p>
            <w:pPr>
              <w:pStyle w:val="Table Style 1"/>
            </w:pPr>
            <w:r>
              <w:rPr>
                <w:shd w:val="nil" w:color="auto" w:fill="auto"/>
                <w:rtl w:val="0"/>
                <w:lang w:val="en-US"/>
              </w:rPr>
              <w:t xml:space="preserve">Risk assessments </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en-US"/>
              </w:rPr>
              <w:t>3 years from last assessment</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7f7f7f" w:sz="2" w:space="0" w:shadow="0" w:frame="0"/>
              <w:right w:val="single" w:color="000000" w:sz="6" w:space="0" w:shadow="0" w:frame="0"/>
            </w:tcBorders>
            <w:shd w:val="clear" w:color="auto" w:fill="d5d5d5"/>
            <w:tcMar>
              <w:top w:type="dxa" w:w="80"/>
              <w:left w:type="dxa" w:w="80"/>
              <w:bottom w:type="dxa" w:w="80"/>
              <w:right w:type="dxa" w:w="80"/>
            </w:tcMar>
            <w:vAlign w:val="top"/>
          </w:tcPr>
          <w:p>
            <w:pPr>
              <w:pStyle w:val="Table Style 1"/>
            </w:pPr>
            <w:r>
              <w:rPr>
                <w:shd w:val="nil" w:color="auto" w:fill="auto"/>
                <w:rtl w:val="0"/>
                <w:lang w:val="en-US"/>
              </w:rPr>
              <w:t>Premises/equipment inspection records</w:t>
            </w:r>
          </w:p>
        </w:tc>
        <w:tc>
          <w:tcPr>
            <w:tcW w:type="dxa" w:w="3138"/>
            <w:tcBorders>
              <w:top w:val="single" w:color="000000" w:sz="2" w:space="0" w:shadow="0" w:frame="0"/>
              <w:left w:val="single" w:color="000000" w:sz="6" w:space="0" w:shadow="0" w:frame="0"/>
              <w:bottom w:val="single" w:color="7f7f7f"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en-US"/>
              </w:rPr>
              <w:t>25 years</w:t>
            </w:r>
          </w:p>
        </w:tc>
        <w:tc>
          <w:tcPr>
            <w:tcW w:type="dxa" w:w="1657"/>
            <w:tcBorders>
              <w:top w:val="single" w:color="000000" w:sz="2" w:space="0" w:shadow="0" w:frame="0"/>
              <w:left w:val="single" w:color="000000" w:sz="2" w:space="0" w:shadow="0" w:frame="0"/>
              <w:bottom w:val="single" w:color="7f7f7f"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7f7f7f"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7f7f7f" w:sz="2" w:space="0" w:shadow="0" w:frame="0"/>
              <w:left w:val="single" w:color="7f7f7f" w:sz="2" w:space="0" w:shadow="0" w:frame="0"/>
              <w:bottom w:val="single" w:color="7f7f7f" w:sz="2" w:space="0" w:shadow="0" w:frame="0"/>
              <w:right w:val="single" w:color="000000" w:sz="6"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rPr>
              <w:t>Document</w:t>
            </w:r>
          </w:p>
        </w:tc>
        <w:tc>
          <w:tcPr>
            <w:tcW w:type="dxa" w:w="3138"/>
            <w:tcBorders>
              <w:top w:val="single" w:color="7f7f7f" w:sz="2" w:space="0" w:shadow="0" w:frame="0"/>
              <w:left w:val="single" w:color="000000" w:sz="6" w:space="0" w:shadow="0" w:frame="0"/>
              <w:bottom w:val="single" w:color="7f7f7f" w:sz="2" w:space="0" w:shadow="0" w:frame="0"/>
              <w:right w:val="single" w:color="000000" w:sz="2" w:space="0" w:shadow="0" w:frame="0"/>
            </w:tcBorders>
            <w:shd w:val="clear" w:color="auto" w:fill="919191"/>
            <w:tcMar>
              <w:top w:type="dxa" w:w="80"/>
              <w:left w:type="dxa" w:w="80"/>
              <w:bottom w:type="dxa" w:w="80"/>
              <w:right w:type="dxa" w:w="80"/>
            </w:tcMar>
            <w:vAlign w:val="top"/>
          </w:tcPr>
          <w:p>
            <w:pPr>
              <w:pStyle w:val="Table Style 2"/>
            </w:pPr>
            <w:r>
              <w:rPr>
                <w:b w:val="1"/>
                <w:bCs w:val="1"/>
                <w:shd w:val="nil" w:color="auto" w:fill="auto"/>
                <w:rtl w:val="0"/>
                <w:lang w:val="fr-FR"/>
              </w:rPr>
              <w:t>Minimum retention</w:t>
            </w:r>
          </w:p>
        </w:tc>
        <w:tc>
          <w:tcPr>
            <w:tcW w:type="dxa" w:w="1657"/>
            <w:tcBorders>
              <w:top w:val="single" w:color="7f7f7f" w:sz="2" w:space="0" w:shadow="0" w:frame="0"/>
              <w:left w:val="single" w:color="000000" w:sz="2" w:space="0" w:shadow="0" w:frame="0"/>
              <w:bottom w:val="single" w:color="7f7f7f" w:sz="2" w:space="0" w:shadow="0" w:frame="0"/>
              <w:right w:val="single" w:color="000000" w:sz="2" w:space="0" w:shadow="0" w:frame="0"/>
            </w:tcBorders>
            <w:shd w:val="clear" w:color="auto" w:fill="919191"/>
            <w:tcMar>
              <w:top w:type="dxa" w:w="80"/>
              <w:left w:type="dxa" w:w="80"/>
              <w:bottom w:type="dxa" w:w="80"/>
              <w:right w:type="dxa" w:w="80"/>
            </w:tcMar>
            <w:vAlign w:val="top"/>
          </w:tcPr>
          <w:p>
            <w:pPr>
              <w:pStyle w:val="Table Style 2"/>
            </w:pPr>
            <w:r>
              <w:rPr>
                <w:b w:val="1"/>
                <w:bCs w:val="1"/>
                <w:shd w:val="nil" w:color="auto" w:fill="auto"/>
                <w:rtl w:val="0"/>
                <w:lang w:val="en-US"/>
              </w:rPr>
              <w:t>Reason</w:t>
            </w:r>
          </w:p>
        </w:tc>
        <w:tc>
          <w:tcPr>
            <w:tcW w:type="dxa" w:w="1748"/>
            <w:tcBorders>
              <w:top w:val="single" w:color="7f7f7f" w:sz="2" w:space="0" w:shadow="0" w:frame="0"/>
              <w:left w:val="single" w:color="000000" w:sz="2" w:space="0" w:shadow="0" w:frame="0"/>
              <w:bottom w:val="single" w:color="7f7f7f" w:sz="2" w:space="0" w:shadow="0" w:frame="0"/>
              <w:right w:val="single" w:color="7f7f7f" w:sz="2" w:space="0" w:shadow="0" w:frame="0"/>
            </w:tcBorders>
            <w:shd w:val="clear" w:color="auto" w:fill="919191"/>
            <w:tcMar>
              <w:top w:type="dxa" w:w="80"/>
              <w:left w:type="dxa" w:w="80"/>
              <w:bottom w:type="dxa" w:w="80"/>
              <w:right w:type="dxa" w:w="80"/>
            </w:tcMar>
            <w:vAlign w:val="top"/>
          </w:tcPr>
          <w:p>
            <w:pPr>
              <w:pStyle w:val="Table Style 2"/>
            </w:pPr>
            <w:r>
              <w:rPr>
                <w:b w:val="1"/>
                <w:bCs w:val="1"/>
                <w:shd w:val="nil" w:color="auto" w:fill="auto"/>
                <w:rtl w:val="0"/>
                <w:lang w:val="fr-FR"/>
              </w:rPr>
              <w:t>Action</w:t>
            </w:r>
          </w:p>
        </w:tc>
      </w:tr>
      <w:tr>
        <w:tblPrEx>
          <w:shd w:val="clear" w:color="auto" w:fill="cadfff"/>
        </w:tblPrEx>
        <w:trPr>
          <w:trHeight w:val="300" w:hRule="atLeast"/>
        </w:trPr>
        <w:tc>
          <w:tcPr>
            <w:tcW w:type="dxa" w:w="3086"/>
            <w:tcBorders>
              <w:top w:val="single" w:color="7f7f7f" w:sz="2" w:space="0" w:shadow="0" w:frame="0"/>
              <w:left w:val="single" w:color="000000" w:sz="2" w:space="0" w:shadow="0" w:frame="0"/>
              <w:bottom w:val="single" w:color="000000" w:sz="2" w:space="0" w:shadow="0" w:frame="0"/>
              <w:right w:val="single" w:color="000000" w:sz="6"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lang w:val="en-US"/>
              </w:rPr>
              <w:t>General management</w:t>
            </w:r>
          </w:p>
        </w:tc>
        <w:tc>
          <w:tcPr>
            <w:tcW w:type="dxa" w:w="3138"/>
            <w:tcBorders>
              <w:top w:val="single" w:color="7f7f7f" w:sz="2" w:space="0" w:shadow="0" w:frame="0"/>
              <w:left w:val="single" w:color="000000" w:sz="6"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657"/>
            <w:tcBorders>
              <w:top w:val="single" w:color="7f7f7f"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748"/>
            <w:tcBorders>
              <w:top w:val="single" w:color="7f7f7f"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Deeds, leases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Register of electors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Once updated</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Cllrs declaration of office</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4 years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Members register of interest</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18 months after individual ceases to be a member</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Title, deeds, leases, agreements, contracts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Indefinitely</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de-DE"/>
              </w:rPr>
              <w:t>Audit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General information</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 xml:space="preserve">12 months </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Complaints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5 years after closure of case</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Archive</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919191"/>
            <w:tcMar>
              <w:top w:type="dxa" w:w="80"/>
              <w:left w:type="dxa" w:w="80"/>
              <w:bottom w:type="dxa" w:w="80"/>
              <w:right w:type="dxa" w:w="80"/>
            </w:tcMar>
            <w:vAlign w:val="top"/>
          </w:tcPr>
          <w:p>
            <w:pPr>
              <w:pStyle w:val="Table Style 1"/>
            </w:pPr>
            <w:r>
              <w:rPr>
                <w:shd w:val="nil" w:color="auto" w:fill="auto"/>
                <w:rtl w:val="0"/>
                <w:lang w:val="en-US"/>
              </w:rPr>
              <w:t>Personnel/staff matters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191"/>
            <w:tcMar>
              <w:top w:type="dxa" w:w="80"/>
              <w:left w:type="dxa" w:w="80"/>
              <w:bottom w:type="dxa" w:w="80"/>
              <w:right w:type="dxa" w:w="80"/>
            </w:tcMar>
            <w:vAlign w:val="top"/>
          </w:tcP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Application forms (unsuccessful candidates)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6 months</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486"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fr-FR"/>
              </w:rPr>
              <w:t>Personnel files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6 years after ceasing employment</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3086"/>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2"/>
            </w:pPr>
            <w:r>
              <w:rPr>
                <w:b w:val="1"/>
                <w:bCs w:val="1"/>
                <w:shd w:val="nil" w:color="auto" w:fill="auto"/>
                <w:rtl w:val="0"/>
                <w:lang w:val="en-US"/>
              </w:rPr>
              <w:t>Disciplinary records</w:t>
            </w:r>
          </w:p>
        </w:tc>
        <w:tc>
          <w:tcPr>
            <w:tcW w:type="dxa" w:w="3138"/>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Retain for period of employment</w:t>
            </w:r>
          </w:p>
        </w:tc>
        <w:tc>
          <w:tcPr>
            <w:tcW w:type="dxa" w:w="16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bl>
    <w:p>
      <w:pPr>
        <w:pStyle w:val="Body A"/>
        <w:widowControl w:val="0"/>
        <w:ind w:left="108" w:hanging="108"/>
        <w:rPr>
          <w:b w:val="1"/>
          <w:bCs w:val="1"/>
          <w:sz w:val="24"/>
          <w:szCs w:val="24"/>
        </w:rPr>
      </w:pPr>
    </w:p>
    <w:p>
      <w:pPr>
        <w:pStyle w:val="Body A"/>
        <w:rPr>
          <w:sz w:val="24"/>
          <w:szCs w:val="24"/>
        </w:rPr>
      </w:pPr>
    </w:p>
    <w:p>
      <w:pPr>
        <w:pStyle w:val="Body A"/>
        <w:rPr>
          <w:sz w:val="24"/>
          <w:szCs w:val="24"/>
        </w:rPr>
      </w:pPr>
    </w:p>
    <w:p>
      <w:pPr>
        <w:pStyle w:val="Body A"/>
        <w:rPr>
          <w:sz w:val="24"/>
          <w:szCs w:val="24"/>
        </w:rPr>
      </w:pPr>
    </w:p>
    <w:p>
      <w:pPr>
        <w:pStyle w:val="Body A"/>
        <w:rPr>
          <w:b w:val="1"/>
          <w:bCs w:val="1"/>
          <w:sz w:val="24"/>
          <w:szCs w:val="24"/>
          <w:u w:val="single"/>
        </w:rPr>
      </w:pPr>
      <w:r>
        <w:rPr>
          <w:b w:val="1"/>
          <w:bCs w:val="1"/>
          <w:sz w:val="24"/>
          <w:szCs w:val="24"/>
          <w:u w:val="single"/>
          <w:rtl w:val="0"/>
          <w:lang w:val="en-US"/>
        </w:rPr>
        <w:t>Planning Applications</w:t>
      </w:r>
    </w:p>
    <w:p>
      <w:pPr>
        <w:pStyle w:val="Body A"/>
        <w:rPr>
          <w:sz w:val="24"/>
          <w:szCs w:val="24"/>
        </w:rPr>
      </w:pPr>
    </w:p>
    <w:p>
      <w:pPr>
        <w:pStyle w:val="Body A"/>
        <w:rPr>
          <w:sz w:val="24"/>
          <w:szCs w:val="24"/>
        </w:rPr>
      </w:pPr>
      <w:r>
        <w:rPr>
          <w:sz w:val="24"/>
          <w:szCs w:val="24"/>
          <w:rtl w:val="0"/>
          <w:lang w:val="en-US"/>
        </w:rPr>
        <w:t xml:space="preserve">All planning applications and relevant decision notices are available at Pendle Borough Council. There is no requirement to retain duplicates locally. </w:t>
      </w:r>
    </w:p>
    <w:p>
      <w:pPr>
        <w:pStyle w:val="Body A"/>
        <w:rPr>
          <w:sz w:val="24"/>
          <w:szCs w:val="24"/>
        </w:rPr>
      </w:pPr>
    </w:p>
    <w:p>
      <w:pPr>
        <w:pStyle w:val="Body A"/>
        <w:rPr>
          <w:sz w:val="24"/>
          <w:szCs w:val="24"/>
        </w:rPr>
      </w:pPr>
      <w:r>
        <w:rPr>
          <w:sz w:val="24"/>
          <w:szCs w:val="24"/>
          <w:rtl w:val="0"/>
          <w:lang w:val="en-US"/>
        </w:rPr>
        <w:t>Correspondence received in connection with planning applications will be retained as stated below.</w:t>
      </w:r>
    </w:p>
    <w:p>
      <w:pPr>
        <w:pStyle w:val="Body A"/>
        <w:rPr>
          <w:sz w:val="24"/>
          <w:szCs w:val="24"/>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007"/>
        <w:gridCol w:w="2151"/>
        <w:gridCol w:w="1958"/>
        <w:gridCol w:w="1514"/>
      </w:tblGrid>
      <w:tr>
        <w:tblPrEx>
          <w:shd w:val="clear" w:color="auto" w:fill="00a2ff"/>
        </w:tblPrEx>
        <w:trPr>
          <w:trHeight w:val="300" w:hRule="atLeast"/>
          <w:tblHeader/>
        </w:trPr>
        <w:tc>
          <w:tcPr>
            <w:tcW w:type="dxa" w:w="400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rPr>
              <w:t>Document</w:t>
            </w:r>
          </w:p>
        </w:tc>
        <w:tc>
          <w:tcPr>
            <w:tcW w:type="dxa" w:w="215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fr-FR"/>
              </w:rPr>
              <w:t>Minimum retention</w:t>
            </w:r>
          </w:p>
        </w:tc>
        <w:tc>
          <w:tcPr>
            <w:tcW w:type="dxa" w:w="1958"/>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en-US"/>
              </w:rPr>
              <w:t>Reason</w:t>
            </w:r>
          </w:p>
        </w:tc>
        <w:tc>
          <w:tcPr>
            <w:tcW w:type="dxa" w:w="1513"/>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fr-FR"/>
              </w:rPr>
              <w:t>Action</w:t>
            </w:r>
          </w:p>
        </w:tc>
      </w:tr>
      <w:tr>
        <w:tblPrEx>
          <w:shd w:val="clear" w:color="auto" w:fill="cadfff"/>
        </w:tblPrEx>
        <w:trPr>
          <w:trHeight w:val="310" w:hRule="atLeast"/>
        </w:trPr>
        <w:tc>
          <w:tcPr>
            <w:tcW w:type="dxa" w:w="4007"/>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b w:val="0"/>
                <w:bCs w:val="0"/>
                <w:shd w:val="nil" w:color="auto" w:fill="auto"/>
                <w:rtl w:val="0"/>
                <w:lang w:val="en-US"/>
              </w:rPr>
              <w:t>Complaints</w:t>
            </w:r>
          </w:p>
        </w:tc>
        <w:tc>
          <w:tcPr>
            <w:tcW w:type="dxa" w:w="2151"/>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1 year</w:t>
            </w:r>
          </w:p>
        </w:tc>
        <w:tc>
          <w:tcPr>
            <w:tcW w:type="dxa" w:w="1958"/>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513"/>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400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b w:val="0"/>
                <w:bCs w:val="0"/>
                <w:shd w:val="nil" w:color="auto" w:fill="auto"/>
                <w:rtl w:val="0"/>
                <w:lang w:val="en-US"/>
              </w:rPr>
              <w:t>General Information</w:t>
            </w:r>
          </w:p>
        </w:tc>
        <w:tc>
          <w:tcPr>
            <w:tcW w:type="dxa" w:w="215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 xml:space="preserve">3 months </w:t>
            </w:r>
          </w:p>
        </w:tc>
        <w:tc>
          <w:tcPr>
            <w:tcW w:type="dxa" w:w="19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300" w:hRule="atLeast"/>
        </w:trPr>
        <w:tc>
          <w:tcPr>
            <w:tcW w:type="dxa" w:w="400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b w:val="0"/>
                <w:bCs w:val="0"/>
                <w:shd w:val="nil" w:color="auto" w:fill="auto"/>
                <w:rtl w:val="0"/>
                <w:lang w:val="en-US"/>
              </w:rPr>
              <w:t>Routine correspondence and emails</w:t>
            </w:r>
          </w:p>
        </w:tc>
        <w:tc>
          <w:tcPr>
            <w:tcW w:type="dxa" w:w="215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6 months</w:t>
            </w:r>
          </w:p>
        </w:tc>
        <w:tc>
          <w:tcPr>
            <w:tcW w:type="dxa" w:w="19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Destroy</w:t>
            </w:r>
          </w:p>
        </w:tc>
      </w:tr>
      <w:tr>
        <w:tblPrEx>
          <w:shd w:val="clear" w:color="auto" w:fill="cadfff"/>
        </w:tblPrEx>
        <w:trPr>
          <w:trHeight w:val="486" w:hRule="atLeast"/>
        </w:trPr>
        <w:tc>
          <w:tcPr>
            <w:tcW w:type="dxa" w:w="400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b w:val="0"/>
                <w:bCs w:val="0"/>
                <w:shd w:val="nil" w:color="auto" w:fill="auto"/>
                <w:rtl w:val="0"/>
                <w:lang w:val="en-US"/>
              </w:rPr>
              <w:t>Applications in which the Parish council have commented</w:t>
            </w:r>
          </w:p>
        </w:tc>
        <w:tc>
          <w:tcPr>
            <w:tcW w:type="dxa" w:w="2151"/>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 xml:space="preserve">12 months </w:t>
            </w:r>
          </w:p>
        </w:tc>
        <w:tc>
          <w:tcPr>
            <w:tcW w:type="dxa" w:w="19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fr-FR"/>
              </w:rPr>
              <w:t>Management</w:t>
            </w:r>
          </w:p>
        </w:tc>
        <w:tc>
          <w:tcPr>
            <w:tcW w:type="dxa" w:w="15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Added to spreadsheet</w:t>
            </w:r>
          </w:p>
        </w:tc>
      </w:tr>
    </w:tbl>
    <w:p>
      <w:pPr>
        <w:pStyle w:val="Body A"/>
        <w:widowControl w:val="0"/>
        <w:ind w:left="108" w:hanging="108"/>
        <w:rPr>
          <w:sz w:val="24"/>
          <w:szCs w:val="24"/>
        </w:rPr>
      </w:pPr>
    </w:p>
    <w:p>
      <w:pPr>
        <w:pStyle w:val="Body A"/>
        <w:rPr>
          <w:sz w:val="24"/>
          <w:szCs w:val="24"/>
        </w:rPr>
      </w:pPr>
    </w:p>
    <w:p>
      <w:pPr>
        <w:pStyle w:val="Body A"/>
        <w:rPr>
          <w:sz w:val="24"/>
          <w:szCs w:val="24"/>
        </w:rPr>
      </w:pPr>
    </w:p>
    <w:p>
      <w:pPr>
        <w:pStyle w:val="Body A"/>
        <w:rPr>
          <w:sz w:val="24"/>
          <w:szCs w:val="24"/>
        </w:rPr>
      </w:pPr>
      <w:r>
        <w:rPr>
          <w:sz w:val="24"/>
          <w:szCs w:val="24"/>
          <w:rtl w:val="0"/>
          <w:lang w:val="en-US"/>
        </w:rPr>
        <w:t>Disposal procedures: all documents that are no longer required for administrative reasons should be shredded and disposed of.</w:t>
      </w:r>
    </w:p>
    <w:p>
      <w:pPr>
        <w:pStyle w:val="Body A"/>
        <w:rPr>
          <w:sz w:val="24"/>
          <w:szCs w:val="24"/>
        </w:rPr>
      </w:pPr>
    </w:p>
    <w:p>
      <w:pPr>
        <w:pStyle w:val="Body A"/>
      </w:pPr>
      <w:r>
        <w:rPr>
          <w:sz w:val="24"/>
          <w:szCs w:val="24"/>
          <w:rtl w:val="0"/>
          <w:lang w:val="en-US"/>
        </w:rPr>
        <w:t>If further clarification is required on documents listed above or other documentation, the Lancashire County Council Archives guidelines will be consulted by the Parish Council or the LCC Archives Department itself</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